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98464" w14:textId="7704AE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1364F">
        <w:rPr>
          <w:rFonts w:ascii="Arial" w:eastAsia="宋体" w:hAnsi="Arial"/>
          <w:b/>
          <w:i/>
          <w:noProof/>
          <w:color w:val="auto"/>
          <w:sz w:val="28"/>
          <w:lang w:eastAsia="en-US"/>
        </w:rPr>
        <w:t>8718</w:t>
      </w:r>
      <w:bookmarkStart w:id="0" w:name="_GoBack"/>
      <w:bookmarkEnd w:id="0"/>
    </w:p>
    <w:p w14:paraId="6DE8A261" w14:textId="03CC36A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45378">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0AA60F9" w14:textId="77777777" w:rsidR="00A24F28" w:rsidRPr="00927C1B" w:rsidRDefault="00A24F28" w:rsidP="00A24F28">
      <w:pPr>
        <w:rPr>
          <w:rFonts w:ascii="Arial" w:hAnsi="Arial" w:cs="Arial"/>
        </w:rPr>
      </w:pPr>
    </w:p>
    <w:p w14:paraId="7356DC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4826F2" w14:textId="24EAA86E" w:rsidR="007C2972" w:rsidRPr="00254BA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44E6" w:rsidRPr="00A144E6">
        <w:rPr>
          <w:rFonts w:ascii="Arial" w:hAnsi="Arial" w:cs="Arial"/>
          <w:b/>
        </w:rPr>
        <w:t>Discussion o</w:t>
      </w:r>
      <w:r w:rsidR="00254BAF">
        <w:rPr>
          <w:rFonts w:ascii="Arial" w:hAnsi="Arial" w:cs="Arial"/>
          <w:b/>
        </w:rPr>
        <w:t>n MBS user service</w:t>
      </w:r>
    </w:p>
    <w:p w14:paraId="790AF20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144E6">
        <w:rPr>
          <w:rFonts w:ascii="Arial" w:hAnsi="Arial" w:cs="Arial"/>
          <w:b/>
        </w:rPr>
        <w:t>Discussion</w:t>
      </w:r>
    </w:p>
    <w:p w14:paraId="33F491EC" w14:textId="21ED113B" w:rsidR="00A24F28" w:rsidRPr="003E4A1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3E4A11">
        <w:rPr>
          <w:rFonts w:ascii="Arial" w:hAnsi="Arial" w:cs="Arial"/>
          <w:b/>
        </w:rPr>
        <w:t>8</w:t>
      </w:r>
      <w:r w:rsidR="008E5B20">
        <w:rPr>
          <w:rFonts w:ascii="Arial" w:hAnsi="Arial" w:cs="Arial"/>
          <w:b/>
        </w:rPr>
        <w:t>.</w:t>
      </w:r>
      <w:r w:rsidR="003E4A11">
        <w:rPr>
          <w:rFonts w:ascii="Arial" w:hAnsi="Arial" w:cs="Arial"/>
          <w:b/>
        </w:rPr>
        <w:t>9</w:t>
      </w:r>
    </w:p>
    <w:p w14:paraId="488EE360" w14:textId="08FC7E3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4AE8">
        <w:rPr>
          <w:rFonts w:ascii="Arial" w:hAnsi="Arial" w:cs="Arial"/>
          <w:b/>
        </w:rPr>
        <w:t>5MBS</w:t>
      </w:r>
      <w:r w:rsidR="003936FD">
        <w:rPr>
          <w:rFonts w:ascii="Arial" w:hAnsi="Arial" w:cs="Arial"/>
          <w:b/>
        </w:rPr>
        <w:t xml:space="preserve"> </w:t>
      </w:r>
      <w:r w:rsidR="00462B3D" w:rsidRPr="00CA76A1">
        <w:rPr>
          <w:rFonts w:ascii="Arial" w:hAnsi="Arial" w:cs="Arial"/>
          <w:b/>
        </w:rPr>
        <w:t>/ Rel-1</w:t>
      </w:r>
      <w:r w:rsidR="003936FD">
        <w:rPr>
          <w:rFonts w:ascii="Arial" w:hAnsi="Arial" w:cs="Arial"/>
          <w:b/>
        </w:rPr>
        <w:t>7</w:t>
      </w:r>
    </w:p>
    <w:p w14:paraId="2CB5AF25" w14:textId="6D460618" w:rsidR="00EF48DB" w:rsidRPr="00927C1B" w:rsidRDefault="00A24F28" w:rsidP="00EC53AC">
      <w:pPr>
        <w:jc w:val="both"/>
        <w:rPr>
          <w:rFonts w:ascii="Arial" w:hAnsi="Arial" w:cs="Arial"/>
          <w:i/>
        </w:rPr>
      </w:pPr>
      <w:r w:rsidRPr="00927C1B">
        <w:rPr>
          <w:rFonts w:ascii="Arial" w:hAnsi="Arial" w:cs="Arial"/>
          <w:i/>
        </w:rPr>
        <w:t>Abstract:</w:t>
      </w:r>
      <w:r w:rsidR="003E4A11">
        <w:rPr>
          <w:rFonts w:ascii="Arial" w:hAnsi="Arial" w:cs="Arial"/>
          <w:i/>
        </w:rPr>
        <w:t xml:space="preserve"> The incoming</w:t>
      </w:r>
      <w:r w:rsidR="003E4A11">
        <w:rPr>
          <w:rFonts w:ascii="Arial" w:hAnsi="Arial" w:cs="Arial"/>
          <w:i/>
          <w:lang w:val="en-US"/>
        </w:rPr>
        <w:t xml:space="preserve"> LS from SA4 </w:t>
      </w:r>
      <w:r w:rsidR="003936FD">
        <w:rPr>
          <w:rFonts w:ascii="Arial" w:hAnsi="Arial" w:cs="Arial"/>
          <w:i/>
          <w:lang w:val="en-US"/>
        </w:rPr>
        <w:t xml:space="preserve">asks for clarification that whether MB2 interface provided by 5GC can be used to </w:t>
      </w:r>
      <w:r w:rsidR="00D046A2">
        <w:rPr>
          <w:rFonts w:ascii="Arial" w:hAnsi="Arial" w:cs="Arial"/>
          <w:i/>
        </w:rPr>
        <w:t>trigger the establishment of broadcast MBS session in</w:t>
      </w:r>
      <w:r w:rsidR="00A11A33">
        <w:rPr>
          <w:rFonts w:ascii="Arial" w:hAnsi="Arial" w:cs="Arial"/>
          <w:i/>
        </w:rPr>
        <w:t xml:space="preserve"> </w:t>
      </w:r>
      <w:r w:rsidR="00D046A2">
        <w:rPr>
          <w:rFonts w:ascii="Arial" w:hAnsi="Arial" w:cs="Arial"/>
          <w:i/>
        </w:rPr>
        <w:t xml:space="preserve">5GC. This document analyses the issue and proposes a way forward. </w:t>
      </w:r>
    </w:p>
    <w:p w14:paraId="510CED0A" w14:textId="77777777" w:rsidR="00BD387D" w:rsidRDefault="00BD387D" w:rsidP="00BD387D">
      <w:pPr>
        <w:pStyle w:val="1"/>
      </w:pPr>
      <w:r w:rsidRPr="00927C1B">
        <w:t xml:space="preserve">1. </w:t>
      </w:r>
      <w:r>
        <w:t>Introduction</w:t>
      </w:r>
    </w:p>
    <w:p w14:paraId="77EE8739" w14:textId="4E03604A" w:rsidR="00BD387D" w:rsidRDefault="0061747E" w:rsidP="00BD387D">
      <w:pPr>
        <w:rPr>
          <w:rFonts w:eastAsia="MS Mincho"/>
        </w:rPr>
      </w:pPr>
      <w:r>
        <w:rPr>
          <w:rFonts w:eastAsia="MS Mincho"/>
        </w:rPr>
        <w:t>SA</w:t>
      </w:r>
      <w:r w:rsidR="001715D1">
        <w:rPr>
          <w:rFonts w:eastAsia="MS Mincho" w:hint="eastAsia"/>
        </w:rPr>
        <w:t xml:space="preserve"> WG</w:t>
      </w:r>
      <w:r>
        <w:rPr>
          <w:rFonts w:eastAsia="MS Mincho"/>
        </w:rPr>
        <w:t>4</w:t>
      </w:r>
      <w:r w:rsidR="001715D1">
        <w:rPr>
          <w:rFonts w:eastAsia="MS Mincho" w:hint="eastAsia"/>
        </w:rPr>
        <w:t xml:space="preserve"> in </w:t>
      </w:r>
      <w:r w:rsidR="00DB27B5">
        <w:rPr>
          <w:rFonts w:eastAsia="MS Mincho"/>
        </w:rPr>
        <w:t>SA4#</w:t>
      </w:r>
      <w:r w:rsidR="00DB27B5" w:rsidRPr="00DB27B5">
        <w:rPr>
          <w:rFonts w:eastAsia="MS Mincho"/>
        </w:rPr>
        <w:t>119-e</w:t>
      </w:r>
      <w:r w:rsidR="007D15B8">
        <w:rPr>
          <w:rFonts w:eastAsia="MS Mincho" w:hint="eastAsia"/>
        </w:rPr>
        <w:t xml:space="preserve"> meeting sent LS</w:t>
      </w:r>
      <w:r w:rsidR="00F87896">
        <w:rPr>
          <w:rFonts w:eastAsia="MS Mincho"/>
        </w:rPr>
        <w:t xml:space="preserve"> (</w:t>
      </w:r>
      <w:r w:rsidR="00DB27B5">
        <w:rPr>
          <w:rFonts w:eastAsia="MS Mincho"/>
        </w:rPr>
        <w:t>S4</w:t>
      </w:r>
      <w:r w:rsidR="00F87896" w:rsidRPr="00F87896">
        <w:rPr>
          <w:rFonts w:eastAsia="MS Mincho"/>
        </w:rPr>
        <w:t>-22</w:t>
      </w:r>
      <w:r w:rsidR="00DB27B5">
        <w:rPr>
          <w:rFonts w:eastAsia="MS Mincho"/>
        </w:rPr>
        <w:t>0828</w:t>
      </w:r>
      <w:r w:rsidR="00F87896">
        <w:rPr>
          <w:rFonts w:eastAsia="MS Mincho"/>
        </w:rPr>
        <w:t>)</w:t>
      </w:r>
      <w:r w:rsidR="007D15B8">
        <w:rPr>
          <w:rFonts w:eastAsia="MS Mincho" w:hint="eastAsia"/>
        </w:rPr>
        <w:t xml:space="preserve"> to </w:t>
      </w:r>
      <w:r w:rsidR="007D15B8">
        <w:rPr>
          <w:rFonts w:eastAsia="MS Mincho"/>
        </w:rPr>
        <w:t xml:space="preserve">SA </w:t>
      </w:r>
      <w:r w:rsidR="00DB27B5">
        <w:rPr>
          <w:rFonts w:eastAsia="MS Mincho"/>
        </w:rPr>
        <w:t xml:space="preserve">WG2 on </w:t>
      </w:r>
      <w:r w:rsidR="00DB27B5">
        <w:t xml:space="preserve">5MBS User Services. </w:t>
      </w:r>
      <w:r w:rsidR="007D15B8">
        <w:rPr>
          <w:rFonts w:eastAsia="MS Mincho"/>
        </w:rPr>
        <w:t>Quote from the LS:</w:t>
      </w:r>
    </w:p>
    <w:tbl>
      <w:tblPr>
        <w:tblStyle w:val="aa"/>
        <w:tblW w:w="0" w:type="auto"/>
        <w:tblLook w:val="04A0" w:firstRow="1" w:lastRow="0" w:firstColumn="1" w:lastColumn="0" w:noHBand="0" w:noVBand="1"/>
      </w:tblPr>
      <w:tblGrid>
        <w:gridCol w:w="9628"/>
      </w:tblGrid>
      <w:tr w:rsidR="007D15B8" w14:paraId="220756AB" w14:textId="77777777" w:rsidTr="007D15B8">
        <w:tc>
          <w:tcPr>
            <w:tcW w:w="9628" w:type="dxa"/>
          </w:tcPr>
          <w:p w14:paraId="14C699CF" w14:textId="044B90B6" w:rsidR="007D15B8" w:rsidRPr="00DB27B5" w:rsidRDefault="00DB27B5" w:rsidP="00BD387D">
            <w:pPr>
              <w:rPr>
                <w:rFonts w:eastAsia="MS Mincho"/>
                <w:i/>
                <w:lang w:val="en-US"/>
              </w:rPr>
            </w:pPr>
            <w:r w:rsidRPr="00DB27B5">
              <w:rPr>
                <w:rFonts w:ascii="Arial" w:hAnsi="Arial" w:cs="Arial"/>
                <w:i/>
                <w:lang w:eastAsia="zh-CN"/>
              </w:rPr>
              <w:t>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tc>
      </w:tr>
    </w:tbl>
    <w:p w14:paraId="69DB6B0E" w14:textId="77777777" w:rsidR="0061747E" w:rsidRDefault="0061747E" w:rsidP="0061747E">
      <w:pPr>
        <w:rPr>
          <w:rFonts w:eastAsia="MS Mincho"/>
        </w:rPr>
      </w:pPr>
    </w:p>
    <w:p w14:paraId="4F30679D" w14:textId="77777777" w:rsidR="00D345A5" w:rsidRDefault="00DB27B5" w:rsidP="0061747E">
      <w:pPr>
        <w:rPr>
          <w:rFonts w:eastAsia="MS Mincho"/>
        </w:rPr>
      </w:pPr>
      <w:r>
        <w:rPr>
          <w:rFonts w:eastAsia="MS Mincho"/>
        </w:rPr>
        <w:t>It</w:t>
      </w:r>
      <w:r w:rsidR="0061747E" w:rsidRPr="0061747E">
        <w:rPr>
          <w:rFonts w:eastAsia="MS Mincho"/>
        </w:rPr>
        <w:t xml:space="preserve"> was discussed in SA2 and one comment from the company was that currently there was no clear use case for providing MB2 in 5GS, and the company requested to postpone the discussion to SA#153.</w:t>
      </w:r>
      <w:r>
        <w:rPr>
          <w:rFonts w:eastAsia="MS Mincho"/>
        </w:rPr>
        <w:t xml:space="preserve"> </w:t>
      </w:r>
    </w:p>
    <w:p w14:paraId="6775A984" w14:textId="04B5D81C" w:rsidR="0061747E" w:rsidRPr="0061747E" w:rsidRDefault="0061747E" w:rsidP="0061747E">
      <w:pPr>
        <w:rPr>
          <w:rFonts w:eastAsia="MS Mincho"/>
        </w:rPr>
      </w:pPr>
      <w:r w:rsidRPr="0061747E">
        <w:rPr>
          <w:rFonts w:eastAsia="MS Mincho"/>
        </w:rPr>
        <w:t>Th</w:t>
      </w:r>
      <w:r w:rsidR="00DB27B5">
        <w:rPr>
          <w:rFonts w:eastAsia="MS Mincho"/>
        </w:rPr>
        <w:t>is document</w:t>
      </w:r>
      <w:r w:rsidRPr="0061747E">
        <w:rPr>
          <w:rFonts w:eastAsia="MS Mincho"/>
        </w:rPr>
        <w:t xml:space="preserve"> further </w:t>
      </w:r>
      <w:r w:rsidR="0089277B" w:rsidRPr="0061747E">
        <w:rPr>
          <w:rFonts w:eastAsia="MS Mincho"/>
        </w:rPr>
        <w:t>analys</w:t>
      </w:r>
      <w:r w:rsidR="000C13B2">
        <w:rPr>
          <w:rFonts w:eastAsia="MS Mincho"/>
        </w:rPr>
        <w:t>es</w:t>
      </w:r>
      <w:r w:rsidRPr="0061747E">
        <w:rPr>
          <w:rFonts w:eastAsia="MS Mincho"/>
        </w:rPr>
        <w:t xml:space="preserve"> the use cases and scenarios.</w:t>
      </w:r>
    </w:p>
    <w:p w14:paraId="38104837" w14:textId="77777777" w:rsidR="00BD387D" w:rsidRPr="00D345A5" w:rsidRDefault="00BD387D" w:rsidP="00BD387D">
      <w:pPr>
        <w:pStyle w:val="1"/>
        <w:rPr>
          <w:rFonts w:eastAsiaTheme="minorEastAsia"/>
          <w:lang w:eastAsia="zh-CN"/>
        </w:rPr>
      </w:pPr>
      <w:r>
        <w:rPr>
          <w:lang w:eastAsia="zh-CN"/>
        </w:rPr>
        <w:t>2. Discussion</w:t>
      </w:r>
    </w:p>
    <w:p w14:paraId="63AF46F0" w14:textId="42E7BF5F" w:rsidR="00A318EC" w:rsidRPr="00D345A5" w:rsidRDefault="00A318EC" w:rsidP="00A318EC">
      <w:pPr>
        <w:pStyle w:val="3"/>
        <w:rPr>
          <w:rFonts w:eastAsia="宋体"/>
          <w:lang w:val="en-US" w:eastAsia="en-GB"/>
        </w:rPr>
      </w:pPr>
      <w:r w:rsidRPr="00A318EC">
        <w:rPr>
          <w:rFonts w:eastAsia="宋体" w:hint="eastAsia"/>
          <w:lang w:eastAsia="en-GB"/>
        </w:rPr>
        <w:t>2.1</w:t>
      </w:r>
      <w:r w:rsidRPr="00A318EC">
        <w:rPr>
          <w:rFonts w:eastAsia="宋体" w:hint="eastAsia"/>
          <w:lang w:eastAsia="en-GB"/>
        </w:rPr>
        <w:tab/>
      </w:r>
      <w:r w:rsidR="00D345A5">
        <w:rPr>
          <w:rFonts w:eastAsia="宋体"/>
          <w:lang w:val="en-US" w:eastAsia="en-GB"/>
        </w:rPr>
        <w:t>Use case for invoking MB2 interface</w:t>
      </w:r>
    </w:p>
    <w:p w14:paraId="36CBABF2" w14:textId="0AA4BC6D" w:rsidR="0028221D" w:rsidRDefault="00D345A5" w:rsidP="00F53117">
      <w:pPr>
        <w:rPr>
          <w:rFonts w:eastAsia="MS Mincho"/>
        </w:rPr>
      </w:pPr>
      <w:r>
        <w:rPr>
          <w:rFonts w:eastAsia="MS Mincho"/>
        </w:rPr>
        <w:t xml:space="preserve">In SA2#152E meeting, </w:t>
      </w:r>
      <w:r w:rsidR="00F469D8">
        <w:rPr>
          <w:rFonts w:eastAsia="MS Mincho"/>
        </w:rPr>
        <w:t>th</w:t>
      </w:r>
      <w:r w:rsidR="00C528FE">
        <w:rPr>
          <w:rFonts w:eastAsia="MS Mincho"/>
        </w:rPr>
        <w:t>is document was discussed and the</w:t>
      </w:r>
      <w:r w:rsidR="00F469D8">
        <w:rPr>
          <w:rFonts w:eastAsia="MS Mincho"/>
        </w:rPr>
        <w:t xml:space="preserve"> </w:t>
      </w:r>
      <w:r w:rsidR="00D45E3A">
        <w:rPr>
          <w:rFonts w:eastAsia="MS Mincho"/>
        </w:rPr>
        <w:t xml:space="preserve">main issue of using MB2 interface </w:t>
      </w:r>
      <w:r w:rsidR="00C528FE">
        <w:rPr>
          <w:rFonts w:eastAsia="MS Mincho"/>
        </w:rPr>
        <w:t>was</w:t>
      </w:r>
      <w:r w:rsidR="0028221D">
        <w:rPr>
          <w:rFonts w:eastAsia="MS Mincho"/>
        </w:rPr>
        <w:t xml:space="preserve"> that the use case </w:t>
      </w:r>
      <w:r w:rsidR="00C528FE">
        <w:rPr>
          <w:rFonts w:eastAsia="MS Mincho"/>
        </w:rPr>
        <w:t>wa</w:t>
      </w:r>
      <w:r w:rsidR="0028221D">
        <w:rPr>
          <w:rFonts w:eastAsia="MS Mincho"/>
        </w:rPr>
        <w:t>s not very clear.</w:t>
      </w:r>
      <w:r w:rsidR="00D45E3A">
        <w:rPr>
          <w:rFonts w:eastAsia="MS Mincho"/>
        </w:rPr>
        <w:t xml:space="preserve"> </w:t>
      </w:r>
    </w:p>
    <w:p w14:paraId="214079E6" w14:textId="6FB53EB9" w:rsidR="00C528FE" w:rsidRDefault="0095199B" w:rsidP="00F53117">
      <w:pPr>
        <w:rPr>
          <w:rFonts w:eastAsia="MS Mincho"/>
        </w:rPr>
      </w:pPr>
      <w:r>
        <w:rPr>
          <w:rFonts w:eastAsia="MS Mincho"/>
        </w:rPr>
        <w:t>When the sever only supports MB2 interface, it means that it was originally developed for eMBMS</w:t>
      </w:r>
      <w:r w:rsidR="00D638B3">
        <w:rPr>
          <w:rFonts w:eastAsia="MS Mincho"/>
        </w:rPr>
        <w:t>, and is not updated in 5G era</w:t>
      </w:r>
      <w:r w:rsidR="00C102CC">
        <w:rPr>
          <w:rFonts w:eastAsia="MS Mincho"/>
        </w:rPr>
        <w:t xml:space="preserve"> and</w:t>
      </w:r>
      <w:r w:rsidR="00C528FE">
        <w:rPr>
          <w:rFonts w:eastAsia="MS Mincho"/>
        </w:rPr>
        <w:t xml:space="preserve"> kept untouched. However, that use case is not very </w:t>
      </w:r>
      <w:r w:rsidR="00597FA7">
        <w:rPr>
          <w:rFonts w:eastAsia="MS Mincho"/>
        </w:rPr>
        <w:t>persuasive</w:t>
      </w:r>
      <w:r w:rsidR="00C528FE">
        <w:rPr>
          <w:rFonts w:eastAsia="MS Mincho"/>
        </w:rPr>
        <w:t>:</w:t>
      </w:r>
    </w:p>
    <w:p w14:paraId="310B6981" w14:textId="14712EED" w:rsidR="00F37F9A" w:rsidRPr="00F37F9A" w:rsidRDefault="00597FA7" w:rsidP="00F37F9A">
      <w:pPr>
        <w:pStyle w:val="ac"/>
        <w:numPr>
          <w:ilvl w:val="0"/>
          <w:numId w:val="19"/>
        </w:numPr>
        <w:rPr>
          <w:rFonts w:eastAsia="MS Mincho"/>
        </w:rPr>
      </w:pPr>
      <w:r>
        <w:rPr>
          <w:rFonts w:eastAsia="MS Mincho"/>
        </w:rPr>
        <w:t>It would be a bit strange that</w:t>
      </w:r>
      <w:r w:rsidR="005955B9">
        <w:rPr>
          <w:rFonts w:eastAsia="MS Mincho"/>
        </w:rPr>
        <w:t xml:space="preserve"> the</w:t>
      </w:r>
      <w:r>
        <w:rPr>
          <w:rFonts w:eastAsia="MS Mincho"/>
        </w:rPr>
        <w:t xml:space="preserve"> p</w:t>
      </w:r>
      <w:r w:rsidR="00C528FE">
        <w:rPr>
          <w:rFonts w:eastAsia="MS Mincho"/>
        </w:rPr>
        <w:t>ublic safety</w:t>
      </w:r>
      <w:r w:rsidR="00C102CC">
        <w:rPr>
          <w:rFonts w:eastAsia="MS Mincho"/>
        </w:rPr>
        <w:t xml:space="preserve"> p</w:t>
      </w:r>
      <w:r w:rsidR="005955B9">
        <w:rPr>
          <w:rFonts w:eastAsia="MS Mincho"/>
        </w:rPr>
        <w:t>rovider</w:t>
      </w:r>
      <w:r w:rsidR="00F067FB">
        <w:rPr>
          <w:rFonts w:eastAsia="MS Mincho"/>
        </w:rPr>
        <w:t>,</w:t>
      </w:r>
      <w:r w:rsidR="00841C84">
        <w:rPr>
          <w:rFonts w:eastAsia="MS Mincho"/>
        </w:rPr>
        <w:t xml:space="preserve"> after investing </w:t>
      </w:r>
      <w:r w:rsidR="0083047E">
        <w:rPr>
          <w:rFonts w:eastAsia="MS Mincho"/>
        </w:rPr>
        <w:t xml:space="preserve">a lot </w:t>
      </w:r>
      <w:r w:rsidR="00841C84">
        <w:rPr>
          <w:rFonts w:eastAsia="MS Mincho"/>
        </w:rPr>
        <w:t xml:space="preserve">for </w:t>
      </w:r>
      <w:r w:rsidR="0083047E">
        <w:rPr>
          <w:rFonts w:eastAsia="MS Mincho"/>
        </w:rPr>
        <w:t xml:space="preserve">upgrading </w:t>
      </w:r>
      <w:r w:rsidR="00841C84">
        <w:rPr>
          <w:rFonts w:eastAsia="MS Mincho"/>
        </w:rPr>
        <w:t>5GC</w:t>
      </w:r>
      <w:r w:rsidR="0083047E">
        <w:rPr>
          <w:rFonts w:eastAsia="MS Mincho"/>
        </w:rPr>
        <w:t>, NG-RAN nodes and UEs</w:t>
      </w:r>
      <w:r w:rsidR="00F067FB">
        <w:rPr>
          <w:rFonts w:eastAsia="MS Mincho"/>
        </w:rPr>
        <w:t xml:space="preserve"> </w:t>
      </w:r>
      <w:r w:rsidR="0083047E">
        <w:rPr>
          <w:rFonts w:eastAsia="MS Mincho"/>
        </w:rPr>
        <w:t>to support NR and 5MBS, keep</w:t>
      </w:r>
      <w:r>
        <w:rPr>
          <w:rFonts w:eastAsia="MS Mincho"/>
        </w:rPr>
        <w:t>s</w:t>
      </w:r>
      <w:r w:rsidR="0083047E">
        <w:rPr>
          <w:rFonts w:eastAsia="MS Mincho"/>
        </w:rPr>
        <w:t xml:space="preserve"> </w:t>
      </w:r>
      <w:r>
        <w:rPr>
          <w:rFonts w:eastAsia="MS Mincho"/>
        </w:rPr>
        <w:t xml:space="preserve">the sever unchanged and can only support MB2 feature. Since </w:t>
      </w:r>
      <w:r w:rsidR="00CF15B3">
        <w:rPr>
          <w:rFonts w:eastAsia="MS Mincho"/>
        </w:rPr>
        <w:t xml:space="preserve">1) </w:t>
      </w:r>
      <w:r>
        <w:rPr>
          <w:rFonts w:eastAsia="MS Mincho"/>
        </w:rPr>
        <w:t xml:space="preserve">compares with others, </w:t>
      </w:r>
      <w:r w:rsidR="00F37F9A">
        <w:rPr>
          <w:rFonts w:eastAsia="MS Mincho"/>
          <w:lang w:val="en-US"/>
        </w:rPr>
        <w:t xml:space="preserve">the cost of </w:t>
      </w:r>
      <w:r>
        <w:rPr>
          <w:rFonts w:eastAsia="MS Mincho"/>
        </w:rPr>
        <w:t>upgrading the sever w</w:t>
      </w:r>
      <w:r w:rsidR="00F37F9A">
        <w:rPr>
          <w:rFonts w:eastAsia="MS Mincho"/>
        </w:rPr>
        <w:t>ould be rather minor</w:t>
      </w:r>
      <w:r w:rsidR="00CF15B3">
        <w:rPr>
          <w:rFonts w:eastAsia="MS Mincho"/>
        </w:rPr>
        <w:t xml:space="preserve">, and 2) MBS accommodates more for features </w:t>
      </w:r>
      <w:r w:rsidR="00E74388">
        <w:rPr>
          <w:rFonts w:eastAsia="MS Mincho"/>
        </w:rPr>
        <w:t xml:space="preserve">(e.g., multiple MBS QoS flows within an MBS session), </w:t>
      </w:r>
      <w:r w:rsidR="00CF15B3">
        <w:rPr>
          <w:rFonts w:eastAsia="MS Mincho"/>
        </w:rPr>
        <w:t xml:space="preserve">and uses MB2 limits the functionalities. </w:t>
      </w:r>
    </w:p>
    <w:p w14:paraId="1EBE26AA" w14:textId="7640D7EC" w:rsidR="00E43B74" w:rsidRDefault="00A55A09" w:rsidP="00C528FE">
      <w:pPr>
        <w:pStyle w:val="ac"/>
        <w:numPr>
          <w:ilvl w:val="0"/>
          <w:numId w:val="19"/>
        </w:numPr>
        <w:rPr>
          <w:rFonts w:eastAsia="MS Mincho"/>
        </w:rPr>
      </w:pPr>
      <w:r>
        <w:rPr>
          <w:rFonts w:eastAsia="MS Mincho"/>
        </w:rPr>
        <w:t xml:space="preserve">The </w:t>
      </w:r>
      <w:r w:rsidR="00E43B74">
        <w:rPr>
          <w:rFonts w:eastAsia="MS Mincho"/>
        </w:rPr>
        <w:t xml:space="preserve">interaction between </w:t>
      </w:r>
      <w:r>
        <w:rPr>
          <w:rFonts w:eastAsia="MS Mincho"/>
        </w:rPr>
        <w:t xml:space="preserve">server </w:t>
      </w:r>
      <w:r w:rsidR="00E43B74">
        <w:rPr>
          <w:rFonts w:eastAsia="MS Mincho"/>
        </w:rPr>
        <w:t xml:space="preserve">and UE is not clear. Currently there could be two possibilities. </w:t>
      </w:r>
    </w:p>
    <w:p w14:paraId="6D2AEB24" w14:textId="7C8175AD" w:rsidR="00E43B74" w:rsidRDefault="00E43B74" w:rsidP="00E43B74">
      <w:pPr>
        <w:pStyle w:val="ac"/>
        <w:numPr>
          <w:ilvl w:val="1"/>
          <w:numId w:val="19"/>
        </w:numPr>
        <w:rPr>
          <w:rFonts w:eastAsia="MS Mincho"/>
        </w:rPr>
      </w:pPr>
      <w:r>
        <w:rPr>
          <w:rFonts w:eastAsia="MS Mincho"/>
        </w:rPr>
        <w:t xml:space="preserve">Server </w:t>
      </w:r>
      <w:r w:rsidR="00C62BE3">
        <w:rPr>
          <w:rFonts w:eastAsia="MS Mincho"/>
        </w:rPr>
        <w:t>provide</w:t>
      </w:r>
      <w:r>
        <w:rPr>
          <w:rFonts w:eastAsia="MS Mincho"/>
        </w:rPr>
        <w:t>s</w:t>
      </w:r>
      <w:r w:rsidR="00C62BE3">
        <w:rPr>
          <w:rFonts w:eastAsia="MS Mincho"/>
        </w:rPr>
        <w:t xml:space="preserve"> the function for</w:t>
      </w:r>
      <w:r w:rsidR="00A55A09">
        <w:rPr>
          <w:rFonts w:eastAsia="MS Mincho"/>
        </w:rPr>
        <w:t xml:space="preserve"> the application level interaction </w:t>
      </w:r>
      <w:r w:rsidR="00C102CC">
        <w:rPr>
          <w:rFonts w:eastAsia="MS Mincho"/>
        </w:rPr>
        <w:t>for 5MBS</w:t>
      </w:r>
      <w:r>
        <w:rPr>
          <w:rFonts w:eastAsia="MS Mincho"/>
        </w:rPr>
        <w:t>, since current GC1 interface cannot directly for 5MBS purpose (e.g., MBS service area).</w:t>
      </w:r>
      <w:r w:rsidR="00A55A09">
        <w:rPr>
          <w:rFonts w:eastAsia="MS Mincho"/>
        </w:rPr>
        <w:t xml:space="preserve"> </w:t>
      </w:r>
      <w:r>
        <w:rPr>
          <w:rFonts w:eastAsia="MS Mincho"/>
        </w:rPr>
        <w:t>For this case, since the server has to support application level interaction for 5MBS, then it is not clear for the author that it can only use MB2 instead of supporting Nmb13 (instead of MB2-C) and N6mb (instead of MB2-U).</w:t>
      </w:r>
    </w:p>
    <w:p w14:paraId="243DCDE6" w14:textId="0E53BA8E" w:rsidR="00E43B74" w:rsidRPr="00C528FE" w:rsidRDefault="00E43B74" w:rsidP="00E43B74">
      <w:pPr>
        <w:pStyle w:val="ac"/>
        <w:numPr>
          <w:ilvl w:val="1"/>
          <w:numId w:val="19"/>
        </w:numPr>
        <w:rPr>
          <w:rFonts w:eastAsia="MS Mincho"/>
        </w:rPr>
      </w:pPr>
      <w:r>
        <w:rPr>
          <w:rFonts w:eastAsia="MS Mincho"/>
        </w:rPr>
        <w:t xml:space="preserve">Server uses GC1 interface to interact with </w:t>
      </w:r>
      <w:r w:rsidR="00A55A09">
        <w:rPr>
          <w:rFonts w:eastAsia="MS Mincho"/>
        </w:rPr>
        <w:t>UE</w:t>
      </w:r>
      <w:r>
        <w:rPr>
          <w:rFonts w:eastAsia="MS Mincho"/>
        </w:rPr>
        <w:t xml:space="preserve">. Then the UE </w:t>
      </w:r>
      <w:r w:rsidR="00A55A09">
        <w:rPr>
          <w:rFonts w:eastAsia="MS Mincho"/>
        </w:rPr>
        <w:t xml:space="preserve">is assumed to support both </w:t>
      </w:r>
      <w:r w:rsidR="00D92A8A">
        <w:rPr>
          <w:rFonts w:eastAsia="MS Mincho"/>
        </w:rPr>
        <w:t xml:space="preserve">GC1 interface (i.e., for </w:t>
      </w:r>
      <w:r w:rsidR="009B0059">
        <w:rPr>
          <w:rFonts w:eastAsia="MS Mincho"/>
        </w:rPr>
        <w:t>the case when server uses MB2</w:t>
      </w:r>
      <w:r w:rsidR="00D92A8A">
        <w:rPr>
          <w:rFonts w:eastAsia="MS Mincho"/>
        </w:rPr>
        <w:t xml:space="preserve">), and </w:t>
      </w:r>
      <w:r w:rsidR="00A55A09">
        <w:rPr>
          <w:rFonts w:eastAsia="MS Mincho"/>
        </w:rPr>
        <w:t>application interaction for NR MBS service (</w:t>
      </w:r>
      <w:r w:rsidR="00D92A8A">
        <w:rPr>
          <w:rFonts w:eastAsia="MS Mincho"/>
        </w:rPr>
        <w:t>i.e., for the other use case</w:t>
      </w:r>
      <w:r w:rsidR="00A55A09">
        <w:rPr>
          <w:rFonts w:eastAsia="MS Mincho"/>
        </w:rPr>
        <w:t>)</w:t>
      </w:r>
      <w:r w:rsidR="00D92A8A">
        <w:rPr>
          <w:rFonts w:eastAsia="MS Mincho"/>
        </w:rPr>
        <w:t xml:space="preserve">. </w:t>
      </w:r>
    </w:p>
    <w:p w14:paraId="18F78562" w14:textId="1635D788" w:rsidR="00F067FB" w:rsidRPr="00D345A5" w:rsidRDefault="00F067FB" w:rsidP="00F067FB">
      <w:pPr>
        <w:pStyle w:val="3"/>
        <w:rPr>
          <w:rFonts w:eastAsia="宋体"/>
          <w:lang w:val="en-US" w:eastAsia="en-GB"/>
        </w:rPr>
      </w:pPr>
      <w:r w:rsidRPr="00A318EC">
        <w:rPr>
          <w:rFonts w:eastAsia="宋体" w:hint="eastAsia"/>
          <w:lang w:eastAsia="en-GB"/>
        </w:rPr>
        <w:lastRenderedPageBreak/>
        <w:t>2.</w:t>
      </w:r>
      <w:r>
        <w:rPr>
          <w:rFonts w:eastAsia="宋体"/>
          <w:lang w:eastAsia="en-GB"/>
        </w:rPr>
        <w:t>2</w:t>
      </w:r>
      <w:r w:rsidRPr="00A318EC">
        <w:rPr>
          <w:rFonts w:eastAsia="宋体" w:hint="eastAsia"/>
          <w:lang w:eastAsia="en-GB"/>
        </w:rPr>
        <w:tab/>
      </w:r>
      <w:r>
        <w:rPr>
          <w:rFonts w:eastAsia="宋体"/>
          <w:lang w:val="en-US" w:eastAsia="en-GB"/>
        </w:rPr>
        <w:t xml:space="preserve">Impact to current </w:t>
      </w:r>
      <w:r w:rsidR="00E43B74">
        <w:rPr>
          <w:rFonts w:eastAsia="宋体"/>
          <w:lang w:val="en-US" w:eastAsia="en-GB"/>
        </w:rPr>
        <w:t>functionalities</w:t>
      </w:r>
    </w:p>
    <w:p w14:paraId="2BA883CD" w14:textId="5610DDDA" w:rsidR="00ED41CB" w:rsidRPr="00BE3FE9" w:rsidRDefault="001866D6" w:rsidP="00A53B18">
      <w:pPr>
        <w:rPr>
          <w:rFonts w:eastAsiaTheme="minorEastAsia"/>
          <w:lang w:eastAsia="zh-CN"/>
        </w:rPr>
      </w:pPr>
      <w:r>
        <w:rPr>
          <w:rFonts w:eastAsia="MS Mincho"/>
        </w:rPr>
        <w:t xml:space="preserve">Moreover, the impact to current </w:t>
      </w:r>
      <w:r w:rsidR="00E43B74">
        <w:rPr>
          <w:rFonts w:eastAsia="MS Mincho"/>
        </w:rPr>
        <w:t>functionalities</w:t>
      </w:r>
      <w:r>
        <w:rPr>
          <w:rFonts w:eastAsia="MS Mincho"/>
        </w:rPr>
        <w:t xml:space="preserve"> shall be considered, </w:t>
      </w:r>
      <w:r w:rsidR="005955B9">
        <w:rPr>
          <w:rFonts w:eastAsia="MS Mincho"/>
        </w:rPr>
        <w:t>namely</w:t>
      </w:r>
      <w:r>
        <w:rPr>
          <w:rFonts w:eastAsia="MS Mincho"/>
        </w:rPr>
        <w:t>:</w:t>
      </w:r>
    </w:p>
    <w:p w14:paraId="3ED73214" w14:textId="1555DA61" w:rsidR="00E74388" w:rsidRPr="00E74388" w:rsidRDefault="00EE572B" w:rsidP="00E74388">
      <w:pPr>
        <w:pStyle w:val="ac"/>
        <w:numPr>
          <w:ilvl w:val="0"/>
          <w:numId w:val="19"/>
        </w:numPr>
        <w:rPr>
          <w:rFonts w:eastAsia="MS Mincho"/>
        </w:rPr>
      </w:pPr>
      <w:r w:rsidRPr="00EE572B">
        <w:rPr>
          <w:rFonts w:eastAsia="MS Mincho"/>
          <w:b/>
        </w:rPr>
        <w:t>Functionality gap</w:t>
      </w:r>
      <w:r w:rsidR="001E3647">
        <w:rPr>
          <w:rFonts w:eastAsia="MS Mincho"/>
          <w:b/>
        </w:rPr>
        <w:t>s</w:t>
      </w:r>
      <w:r w:rsidR="00BE3FE9">
        <w:rPr>
          <w:rFonts w:eastAsia="MS Mincho"/>
          <w:b/>
        </w:rPr>
        <w:t xml:space="preserve"> between MB2 and</w:t>
      </w:r>
      <w:r w:rsidR="00767D42">
        <w:rPr>
          <w:rFonts w:eastAsia="MS Mincho"/>
          <w:b/>
        </w:rPr>
        <w:t xml:space="preserve"> interfaces for 5MBS</w:t>
      </w:r>
      <w:r>
        <w:rPr>
          <w:rFonts w:eastAsia="MS Mincho"/>
        </w:rPr>
        <w:t xml:space="preserve">. </w:t>
      </w:r>
      <w:r w:rsidRPr="00E74388">
        <w:rPr>
          <w:rFonts w:eastAsia="MS Mincho"/>
        </w:rPr>
        <w:t>For example, i</w:t>
      </w:r>
      <w:r w:rsidR="00180D0C" w:rsidRPr="00E74388">
        <w:rPr>
          <w:rFonts w:eastAsia="MS Mincho"/>
        </w:rPr>
        <w:t>n eMBMS, allocating TMGI does not consider the issue of service area</w:t>
      </w:r>
      <w:r w:rsidR="00FF6563" w:rsidRPr="00E74388">
        <w:rPr>
          <w:rFonts w:eastAsia="MS Mincho"/>
        </w:rPr>
        <w:t>. However, for local MBS, "</w:t>
      </w:r>
      <w:r w:rsidR="00FF6563" w:rsidRPr="00E74388">
        <w:rPr>
          <w:rFonts w:eastAsia="MS Mincho"/>
          <w:i/>
        </w:rPr>
        <w:t xml:space="preserve">The MBS service area </w:t>
      </w:r>
      <w:r w:rsidR="00732D97" w:rsidRPr="00E74388">
        <w:rPr>
          <w:rFonts w:eastAsia="MS Mincho"/>
          <w:i/>
        </w:rPr>
        <w:t>should</w:t>
      </w:r>
      <w:r w:rsidR="00FF6563" w:rsidRPr="00E74388">
        <w:rPr>
          <w:rFonts w:eastAsia="MS Mincho"/>
          <w:i/>
        </w:rPr>
        <w:t xml:space="preserve"> be provided to in TMGI allocation, if there are multiple MB-SMFs deployed for different areas. Otherwise, the MB-SMF selection at this step will not consider the MBS service area, and thus the selected MB-SMF could be different from the one that serves the MBS service area.</w:t>
      </w:r>
      <w:r w:rsidR="00FF6563" w:rsidRPr="00E74388">
        <w:rPr>
          <w:rFonts w:eastAsia="MS Mincho"/>
        </w:rPr>
        <w:t>"</w:t>
      </w:r>
      <w:r w:rsidR="00732D97" w:rsidRPr="00E74388">
        <w:rPr>
          <w:rFonts w:eastAsia="MS Mincho"/>
        </w:rPr>
        <w:t xml:space="preserve">. </w:t>
      </w:r>
      <w:r w:rsidRPr="00E74388">
        <w:rPr>
          <w:rFonts w:eastAsia="MS Mincho"/>
        </w:rPr>
        <w:t xml:space="preserve">In other words, TMGI allocation request procedure cannot support the TMGI allocation procedure in 5MBS for local MBS. </w:t>
      </w:r>
    </w:p>
    <w:p w14:paraId="567AA544" w14:textId="064571DD" w:rsidR="00732D97" w:rsidRPr="00E43B74" w:rsidRDefault="00EE572B" w:rsidP="001866D6">
      <w:pPr>
        <w:pStyle w:val="ac"/>
        <w:numPr>
          <w:ilvl w:val="0"/>
          <w:numId w:val="19"/>
        </w:numPr>
        <w:rPr>
          <w:rFonts w:eastAsia="MS Mincho"/>
        </w:rPr>
      </w:pPr>
      <w:r w:rsidRPr="00EE572B">
        <w:rPr>
          <w:rFonts w:eastAsia="MS Mincho" w:hint="eastAsia"/>
          <w:b/>
        </w:rPr>
        <w:t>C</w:t>
      </w:r>
      <w:r w:rsidRPr="00EE572B">
        <w:rPr>
          <w:rFonts w:eastAsia="MS Mincho"/>
          <w:b/>
        </w:rPr>
        <w:t xml:space="preserve">onfiguration effort. </w:t>
      </w:r>
      <w:r w:rsidR="007D2C45" w:rsidRPr="00B77A0F">
        <w:rPr>
          <w:rFonts w:eastAsia="MS Mincho"/>
        </w:rPr>
        <w:t>5</w:t>
      </w:r>
      <w:r w:rsidR="007D2C45" w:rsidRPr="007D2C45">
        <w:rPr>
          <w:rFonts w:eastAsia="MS Mincho"/>
        </w:rPr>
        <w:t>MBS</w:t>
      </w:r>
      <w:r w:rsidR="007D2C45">
        <w:rPr>
          <w:rFonts w:eastAsia="MS Mincho"/>
        </w:rPr>
        <w:t xml:space="preserve"> use</w:t>
      </w:r>
      <w:r w:rsidR="002C6F34">
        <w:rPr>
          <w:rFonts w:eastAsia="MS Mincho"/>
        </w:rPr>
        <w:t>s</w:t>
      </w:r>
      <w:r w:rsidR="007D2C45">
        <w:rPr>
          <w:rFonts w:eastAsia="MS Mincho"/>
        </w:rPr>
        <w:t xml:space="preserve"> the list of TA/cell ID</w:t>
      </w:r>
      <w:r w:rsidR="002C6F34">
        <w:rPr>
          <w:rFonts w:eastAsia="MS Mincho"/>
        </w:rPr>
        <w:t xml:space="preserve"> as the MBS service area</w:t>
      </w:r>
      <w:r w:rsidR="007D2C45">
        <w:rPr>
          <w:rFonts w:eastAsia="MS Mincho"/>
        </w:rPr>
        <w:t xml:space="preserve"> for creating the MBS session</w:t>
      </w:r>
      <w:r w:rsidR="002C6F34">
        <w:rPr>
          <w:rFonts w:eastAsia="MS Mincho"/>
        </w:rPr>
        <w:t>, while MB2 interfaces only supports MBMS SAI and/or list of cell ID</w:t>
      </w:r>
      <w:r w:rsidR="002C6F34">
        <w:rPr>
          <w:rFonts w:eastAsiaTheme="minorEastAsia"/>
          <w:lang w:val="en-US" w:eastAsia="zh-CN"/>
        </w:rPr>
        <w:t xml:space="preserve">. The "translation" needs to be done at MB-SMF for mapping the received </w:t>
      </w:r>
      <w:r w:rsidR="00E43B74">
        <w:rPr>
          <w:rFonts w:eastAsiaTheme="minorEastAsia"/>
          <w:lang w:val="en-US" w:eastAsia="zh-CN"/>
        </w:rPr>
        <w:t xml:space="preserve">MBMS SAI to MBS service area. </w:t>
      </w:r>
    </w:p>
    <w:p w14:paraId="45E8DC38" w14:textId="0743C3C5" w:rsidR="004E7234" w:rsidRPr="00A318EC" w:rsidRDefault="004E7234" w:rsidP="004E7234">
      <w:pPr>
        <w:pStyle w:val="3"/>
        <w:rPr>
          <w:rFonts w:eastAsia="宋体"/>
          <w:lang w:eastAsia="en-GB"/>
        </w:rPr>
      </w:pPr>
      <w:r w:rsidRPr="00A318EC">
        <w:rPr>
          <w:rFonts w:eastAsia="宋体" w:hint="eastAsia"/>
          <w:lang w:eastAsia="en-GB"/>
        </w:rPr>
        <w:t>2.</w:t>
      </w:r>
      <w:r>
        <w:rPr>
          <w:rFonts w:eastAsia="宋体"/>
          <w:lang w:eastAsia="en-GB"/>
        </w:rPr>
        <w:t>3</w:t>
      </w:r>
      <w:r w:rsidRPr="00A318EC">
        <w:rPr>
          <w:rFonts w:eastAsia="宋体" w:hint="eastAsia"/>
          <w:lang w:eastAsia="en-GB"/>
        </w:rPr>
        <w:tab/>
      </w:r>
      <w:r w:rsidR="001866D6">
        <w:rPr>
          <w:rFonts w:eastAsia="宋体"/>
          <w:lang w:eastAsia="en-GB"/>
        </w:rPr>
        <w:t xml:space="preserve">Way forward </w:t>
      </w:r>
      <w:r w:rsidR="005955B9">
        <w:rPr>
          <w:rFonts w:eastAsia="宋体"/>
          <w:lang w:eastAsia="en-GB"/>
        </w:rPr>
        <w:t xml:space="preserve">proposal </w:t>
      </w:r>
      <w:r w:rsidR="001866D6">
        <w:rPr>
          <w:rFonts w:eastAsia="宋体"/>
          <w:lang w:eastAsia="en-GB"/>
        </w:rPr>
        <w:t>of supporting MB2 interface</w:t>
      </w:r>
    </w:p>
    <w:p w14:paraId="58269F12" w14:textId="77777777" w:rsidR="00E14DB5" w:rsidRDefault="000C5003" w:rsidP="000C5003">
      <w:pPr>
        <w:rPr>
          <w:rFonts w:eastAsiaTheme="minorEastAsia"/>
          <w:lang w:eastAsia="zh-CN"/>
        </w:rPr>
      </w:pPr>
      <w:r>
        <w:rPr>
          <w:rFonts w:eastAsiaTheme="minorEastAsia"/>
          <w:lang w:eastAsia="zh-CN"/>
        </w:rPr>
        <w:t xml:space="preserve">From the analysis mentioned above, </w:t>
      </w:r>
      <w:r w:rsidR="00C83A0F">
        <w:rPr>
          <w:rFonts w:eastAsiaTheme="minorEastAsia"/>
          <w:lang w:eastAsia="zh-CN"/>
        </w:rPr>
        <w:t xml:space="preserve">for enabling the </w:t>
      </w:r>
      <w:r w:rsidR="005955B9">
        <w:rPr>
          <w:rFonts w:eastAsiaTheme="minorEastAsia"/>
          <w:lang w:eastAsia="zh-CN"/>
        </w:rPr>
        <w:t>server (i.e., GCS/AS) triggers the establishment of broadcast MBS session in 5GC</w:t>
      </w:r>
      <w:r w:rsidR="00E14DB5">
        <w:rPr>
          <w:rFonts w:eastAsiaTheme="minorEastAsia"/>
          <w:lang w:eastAsia="zh-CN"/>
        </w:rPr>
        <w:t>:</w:t>
      </w:r>
    </w:p>
    <w:p w14:paraId="6E6A2271" w14:textId="507B3A92" w:rsidR="00E14DB5" w:rsidRDefault="005955B9" w:rsidP="000C5003">
      <w:pPr>
        <w:pStyle w:val="ac"/>
        <w:numPr>
          <w:ilvl w:val="0"/>
          <w:numId w:val="19"/>
        </w:numPr>
        <w:rPr>
          <w:rFonts w:eastAsia="MS Mincho"/>
        </w:rPr>
      </w:pPr>
      <w:r w:rsidRPr="00E14DB5">
        <w:rPr>
          <w:rFonts w:eastAsia="MS Mincho"/>
        </w:rPr>
        <w:t xml:space="preserve">it needs to </w:t>
      </w:r>
      <w:r w:rsidR="00A07C97" w:rsidRPr="00E14DB5">
        <w:rPr>
          <w:rFonts w:eastAsia="MS Mincho"/>
        </w:rPr>
        <w:t xml:space="preserve">firstly </w:t>
      </w:r>
      <w:r w:rsidRPr="00E14DB5">
        <w:rPr>
          <w:rFonts w:eastAsia="MS Mincho"/>
        </w:rPr>
        <w:t xml:space="preserve">clarify the use cases of </w:t>
      </w:r>
      <w:r w:rsidR="00E14DB5">
        <w:rPr>
          <w:rFonts w:eastAsia="MS Mincho"/>
        </w:rPr>
        <w:t xml:space="preserve">having </w:t>
      </w:r>
      <w:r w:rsidRPr="00E14DB5">
        <w:rPr>
          <w:rFonts w:eastAsia="MS Mincho"/>
        </w:rPr>
        <w:t>GCS/AS not upgraded.</w:t>
      </w:r>
    </w:p>
    <w:p w14:paraId="4D7CF2D8" w14:textId="03D50502" w:rsidR="00A07C97" w:rsidRPr="00E14DB5" w:rsidRDefault="00A07C97" w:rsidP="000C5003">
      <w:pPr>
        <w:pStyle w:val="ac"/>
        <w:numPr>
          <w:ilvl w:val="0"/>
          <w:numId w:val="19"/>
        </w:numPr>
        <w:rPr>
          <w:rFonts w:eastAsia="MS Mincho"/>
        </w:rPr>
      </w:pPr>
      <w:r w:rsidRPr="00E14DB5">
        <w:rPr>
          <w:rFonts w:eastAsiaTheme="minorEastAsia" w:hint="eastAsia"/>
          <w:lang w:eastAsia="zh-CN"/>
        </w:rPr>
        <w:t>W</w:t>
      </w:r>
      <w:r w:rsidRPr="00E14DB5">
        <w:rPr>
          <w:rFonts w:eastAsiaTheme="minorEastAsia"/>
          <w:lang w:eastAsia="zh-CN"/>
        </w:rPr>
        <w:t xml:space="preserve">ith such aspect clarified, </w:t>
      </w:r>
      <w:r w:rsidR="004B11D7" w:rsidRPr="00E14DB5">
        <w:rPr>
          <w:rFonts w:eastAsiaTheme="minorEastAsia"/>
          <w:lang w:eastAsia="zh-CN"/>
        </w:rPr>
        <w:t xml:space="preserve">it seems that the SCS/AS can </w:t>
      </w:r>
      <w:r w:rsidR="004B11D7" w:rsidRPr="00E14DB5">
        <w:rPr>
          <w:rFonts w:eastAsiaTheme="minorEastAsia"/>
          <w:b/>
          <w:lang w:eastAsia="zh-CN"/>
        </w:rPr>
        <w:t>ONLY</w:t>
      </w:r>
      <w:r w:rsidR="004B11D7" w:rsidRPr="00E14DB5">
        <w:rPr>
          <w:rFonts w:eastAsiaTheme="minorEastAsia"/>
          <w:lang w:eastAsia="zh-CN"/>
        </w:rPr>
        <w:t xml:space="preserve"> use GC1 interface to interact with UE</w:t>
      </w:r>
      <w:r w:rsidR="00921342">
        <w:rPr>
          <w:rFonts w:eastAsiaTheme="minorEastAsia"/>
          <w:lang w:eastAsia="zh-CN"/>
        </w:rPr>
        <w:t>.</w:t>
      </w:r>
      <w:r w:rsidR="00E14DB5">
        <w:rPr>
          <w:rFonts w:eastAsiaTheme="minorEastAsia"/>
          <w:lang w:eastAsia="zh-CN"/>
        </w:rPr>
        <w:t xml:space="preserve"> </w:t>
      </w:r>
    </w:p>
    <w:p w14:paraId="7E8A3857" w14:textId="77777777" w:rsidR="00BD387D" w:rsidRDefault="00BD387D" w:rsidP="00BD387D">
      <w:pPr>
        <w:pStyle w:val="1"/>
        <w:rPr>
          <w:lang w:eastAsia="zh-CN"/>
        </w:rPr>
      </w:pPr>
      <w:r>
        <w:rPr>
          <w:lang w:eastAsia="zh-CN"/>
        </w:rPr>
        <w:t>3. Conclusion and proposal(s)</w:t>
      </w:r>
    </w:p>
    <w:p w14:paraId="17A05526" w14:textId="20119AAE" w:rsidR="00BD387D" w:rsidRDefault="006E4FAC" w:rsidP="00BD387D">
      <w:pPr>
        <w:rPr>
          <w:rFonts w:eastAsiaTheme="minorEastAsia"/>
          <w:lang w:eastAsia="zh-CN"/>
        </w:rPr>
      </w:pPr>
      <w:r>
        <w:rPr>
          <w:rFonts w:eastAsiaTheme="minorEastAsia" w:hint="eastAsia"/>
          <w:lang w:eastAsia="zh-CN"/>
        </w:rPr>
        <w:t>Based on the analyses mentioned above, it is proposed to adopt following proposal(</w:t>
      </w:r>
      <w:r>
        <w:rPr>
          <w:rFonts w:eastAsiaTheme="minorEastAsia"/>
          <w:lang w:eastAsia="zh-CN"/>
        </w:rPr>
        <w:t>s</w:t>
      </w:r>
      <w:r>
        <w:rPr>
          <w:rFonts w:eastAsiaTheme="minorEastAsia" w:hint="eastAsia"/>
          <w:lang w:eastAsia="zh-CN"/>
        </w:rPr>
        <w:t>)</w:t>
      </w:r>
      <w:r>
        <w:rPr>
          <w:rFonts w:eastAsiaTheme="minorEastAsia"/>
          <w:lang w:eastAsia="zh-CN"/>
        </w:rPr>
        <w:t>:</w:t>
      </w:r>
    </w:p>
    <w:p w14:paraId="02F203A0" w14:textId="212A2442" w:rsidR="00CA089A" w:rsidRPr="00B24312" w:rsidRDefault="006E4FAC" w:rsidP="00B24312">
      <w:pPr>
        <w:rPr>
          <w:rFonts w:eastAsiaTheme="minorEastAsia"/>
          <w:lang w:eastAsia="zh-CN"/>
        </w:rPr>
      </w:pPr>
      <w:r w:rsidRPr="006E4FAC">
        <w:rPr>
          <w:rFonts w:eastAsiaTheme="minorEastAsia"/>
          <w:b/>
          <w:lang w:eastAsia="zh-CN"/>
        </w:rPr>
        <w:t>Proposal</w:t>
      </w:r>
      <w:r>
        <w:rPr>
          <w:rFonts w:eastAsiaTheme="minorEastAsia"/>
          <w:lang w:eastAsia="zh-CN"/>
        </w:rPr>
        <w:t xml:space="preserve">: </w:t>
      </w:r>
      <w:r w:rsidR="00E14DB5">
        <w:rPr>
          <w:rFonts w:eastAsiaTheme="minorEastAsia"/>
          <w:lang w:eastAsia="zh-CN"/>
        </w:rPr>
        <w:t xml:space="preserve">It needs to firstly </w:t>
      </w:r>
      <w:r w:rsidR="00E14DB5" w:rsidRPr="00E14DB5">
        <w:rPr>
          <w:rFonts w:eastAsia="MS Mincho"/>
        </w:rPr>
        <w:t xml:space="preserve">clarify the use cases of </w:t>
      </w:r>
      <w:r w:rsidR="00E14DB5">
        <w:rPr>
          <w:rFonts w:eastAsia="MS Mincho"/>
        </w:rPr>
        <w:t xml:space="preserve">having </w:t>
      </w:r>
      <w:r w:rsidR="00E14DB5" w:rsidRPr="00E14DB5">
        <w:rPr>
          <w:rFonts w:eastAsia="MS Mincho"/>
        </w:rPr>
        <w:t>GCS/AS not upgraded</w:t>
      </w:r>
      <w:r w:rsidR="00E14DB5">
        <w:rPr>
          <w:rFonts w:eastAsia="MS Mincho"/>
        </w:rPr>
        <w:t xml:space="preserve"> and invoke MB2 to establish the broadcast MBS session</w:t>
      </w:r>
      <w:r w:rsidR="00E14DB5" w:rsidRPr="00E14DB5">
        <w:rPr>
          <w:rFonts w:eastAsia="MS Mincho"/>
        </w:rPr>
        <w:t>.</w:t>
      </w:r>
      <w:r w:rsidR="00E14DB5">
        <w:rPr>
          <w:rFonts w:eastAsia="MS Mincho"/>
        </w:rPr>
        <w:t xml:space="preserve"> </w:t>
      </w:r>
      <w:r w:rsidR="000D07E3">
        <w:rPr>
          <w:rFonts w:eastAsia="MS Mincho"/>
        </w:rPr>
        <w:t>If the use case is concrete then</w:t>
      </w:r>
      <w:r w:rsidR="00E14DB5">
        <w:rPr>
          <w:rFonts w:eastAsia="MS Mincho"/>
        </w:rPr>
        <w:t xml:space="preserve"> </w:t>
      </w:r>
      <w:r w:rsidR="000D07E3">
        <w:rPr>
          <w:rFonts w:eastAsia="MS Mincho"/>
        </w:rPr>
        <w:t xml:space="preserve">clarify in TS 23.247 </w:t>
      </w:r>
      <w:r w:rsidR="00E14DB5">
        <w:t xml:space="preserve">that </w:t>
      </w:r>
      <w:r w:rsidR="00E14DB5">
        <w:rPr>
          <w:rFonts w:eastAsia="MS Mincho"/>
        </w:rPr>
        <w:t>i</w:t>
      </w:r>
      <w:r w:rsidR="00E14DB5" w:rsidRPr="00E14DB5">
        <w:rPr>
          <w:rFonts w:eastAsia="MS Mincho"/>
        </w:rPr>
        <w:t xml:space="preserve">n case of 5GS providing MB2, it is used for GCS/AS </w:t>
      </w:r>
      <w:r w:rsidR="00E14DB5">
        <w:rPr>
          <w:rFonts w:eastAsia="MS Mincho"/>
        </w:rPr>
        <w:t xml:space="preserve">that </w:t>
      </w:r>
      <w:r w:rsidR="00E14DB5" w:rsidRPr="00E14DB5">
        <w:rPr>
          <w:rFonts w:eastAsia="MS Mincho"/>
        </w:rPr>
        <w:t>only support</w:t>
      </w:r>
      <w:r w:rsidR="00E14DB5">
        <w:rPr>
          <w:rFonts w:eastAsia="MS Mincho"/>
        </w:rPr>
        <w:t>s</w:t>
      </w:r>
      <w:r w:rsidR="00E14DB5" w:rsidRPr="00E14DB5">
        <w:rPr>
          <w:rFonts w:eastAsia="MS Mincho"/>
        </w:rPr>
        <w:t xml:space="preserve"> GC1 and MB2 interfaces</w:t>
      </w:r>
      <w:r w:rsidR="00013547">
        <w:rPr>
          <w:rFonts w:eastAsia="MS Mincho"/>
        </w:rPr>
        <w:t>.</w:t>
      </w:r>
      <w:r w:rsidR="00E14DB5">
        <w:rPr>
          <w:rFonts w:eastAsia="MS Mincho"/>
        </w:rPr>
        <w:t xml:space="preserve"> </w:t>
      </w:r>
    </w:p>
    <w:sectPr w:rsidR="00CA089A" w:rsidRPr="00B2431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4EDF6" w14:textId="77777777" w:rsidR="00953DA5" w:rsidRDefault="00953DA5">
      <w:r>
        <w:separator/>
      </w:r>
    </w:p>
    <w:p w14:paraId="6429EA5B" w14:textId="77777777" w:rsidR="00953DA5" w:rsidRDefault="00953DA5"/>
  </w:endnote>
  <w:endnote w:type="continuationSeparator" w:id="0">
    <w:p w14:paraId="0FE98355" w14:textId="77777777" w:rsidR="00953DA5" w:rsidRDefault="00953DA5">
      <w:r>
        <w:continuationSeparator/>
      </w:r>
    </w:p>
    <w:p w14:paraId="0C600B67" w14:textId="77777777" w:rsidR="00953DA5" w:rsidRDefault="00953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D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3FA0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EB4EC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02EC9" w14:textId="77777777" w:rsidR="00953DA5" w:rsidRDefault="00953DA5">
      <w:r>
        <w:separator/>
      </w:r>
    </w:p>
    <w:p w14:paraId="3F9F8772" w14:textId="77777777" w:rsidR="00953DA5" w:rsidRDefault="00953DA5"/>
  </w:footnote>
  <w:footnote w:type="continuationSeparator" w:id="0">
    <w:p w14:paraId="5BC3B11E" w14:textId="77777777" w:rsidR="00953DA5" w:rsidRDefault="00953DA5">
      <w:r>
        <w:continuationSeparator/>
      </w:r>
    </w:p>
    <w:p w14:paraId="7D6EBB3D" w14:textId="77777777" w:rsidR="00953DA5" w:rsidRDefault="00953D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EEDE" w14:textId="77777777" w:rsidR="006F5DD0" w:rsidRDefault="006F5DD0"/>
  <w:p w14:paraId="7A18A4E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6C1E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891A1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3DA5">
      <w:rPr>
        <w:rFonts w:ascii="Arial" w:hAnsi="Arial" w:cs="Arial"/>
        <w:b/>
        <w:bCs/>
        <w:noProof/>
        <w:sz w:val="18"/>
        <w:lang w:val="fr-FR"/>
      </w:rPr>
      <w:t>1</w:t>
    </w:r>
    <w:r>
      <w:rPr>
        <w:rFonts w:ascii="Arial" w:hAnsi="Arial" w:cs="Arial"/>
        <w:b/>
        <w:bCs/>
        <w:sz w:val="18"/>
      </w:rPr>
      <w:fldChar w:fldCharType="end"/>
    </w:r>
  </w:p>
  <w:p w14:paraId="58BB1B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864CA"/>
    <w:multiLevelType w:val="hybridMultilevel"/>
    <w:tmpl w:val="D2629262"/>
    <w:lvl w:ilvl="0" w:tplc="1DC0B71C">
      <w:start w:val="1"/>
      <w:numFmt w:val="bullet"/>
      <w:lvlText w:val=""/>
      <w:lvlJc w:val="left"/>
      <w:pPr>
        <w:tabs>
          <w:tab w:val="num" w:pos="720"/>
        </w:tabs>
        <w:ind w:left="720" w:hanging="360"/>
      </w:pPr>
      <w:rPr>
        <w:rFonts w:ascii="Wingdings" w:hAnsi="Wingdings" w:hint="default"/>
      </w:rPr>
    </w:lvl>
    <w:lvl w:ilvl="1" w:tplc="1A302078" w:tentative="1">
      <w:start w:val="1"/>
      <w:numFmt w:val="bullet"/>
      <w:lvlText w:val=""/>
      <w:lvlJc w:val="left"/>
      <w:pPr>
        <w:tabs>
          <w:tab w:val="num" w:pos="1440"/>
        </w:tabs>
        <w:ind w:left="1440" w:hanging="360"/>
      </w:pPr>
      <w:rPr>
        <w:rFonts w:ascii="Wingdings" w:hAnsi="Wingdings" w:hint="default"/>
      </w:rPr>
    </w:lvl>
    <w:lvl w:ilvl="2" w:tplc="1E1EAAE4" w:tentative="1">
      <w:start w:val="1"/>
      <w:numFmt w:val="bullet"/>
      <w:lvlText w:val=""/>
      <w:lvlJc w:val="left"/>
      <w:pPr>
        <w:tabs>
          <w:tab w:val="num" w:pos="2160"/>
        </w:tabs>
        <w:ind w:left="2160" w:hanging="360"/>
      </w:pPr>
      <w:rPr>
        <w:rFonts w:ascii="Wingdings" w:hAnsi="Wingdings" w:hint="default"/>
      </w:rPr>
    </w:lvl>
    <w:lvl w:ilvl="3" w:tplc="8820B944" w:tentative="1">
      <w:start w:val="1"/>
      <w:numFmt w:val="bullet"/>
      <w:lvlText w:val=""/>
      <w:lvlJc w:val="left"/>
      <w:pPr>
        <w:tabs>
          <w:tab w:val="num" w:pos="2880"/>
        </w:tabs>
        <w:ind w:left="2880" w:hanging="360"/>
      </w:pPr>
      <w:rPr>
        <w:rFonts w:ascii="Wingdings" w:hAnsi="Wingdings" w:hint="default"/>
      </w:rPr>
    </w:lvl>
    <w:lvl w:ilvl="4" w:tplc="0F5A61A6" w:tentative="1">
      <w:start w:val="1"/>
      <w:numFmt w:val="bullet"/>
      <w:lvlText w:val=""/>
      <w:lvlJc w:val="left"/>
      <w:pPr>
        <w:tabs>
          <w:tab w:val="num" w:pos="3600"/>
        </w:tabs>
        <w:ind w:left="3600" w:hanging="360"/>
      </w:pPr>
      <w:rPr>
        <w:rFonts w:ascii="Wingdings" w:hAnsi="Wingdings" w:hint="default"/>
      </w:rPr>
    </w:lvl>
    <w:lvl w:ilvl="5" w:tplc="A3A0A724" w:tentative="1">
      <w:start w:val="1"/>
      <w:numFmt w:val="bullet"/>
      <w:lvlText w:val=""/>
      <w:lvlJc w:val="left"/>
      <w:pPr>
        <w:tabs>
          <w:tab w:val="num" w:pos="4320"/>
        </w:tabs>
        <w:ind w:left="4320" w:hanging="360"/>
      </w:pPr>
      <w:rPr>
        <w:rFonts w:ascii="Wingdings" w:hAnsi="Wingdings" w:hint="default"/>
      </w:rPr>
    </w:lvl>
    <w:lvl w:ilvl="6" w:tplc="7870CF84" w:tentative="1">
      <w:start w:val="1"/>
      <w:numFmt w:val="bullet"/>
      <w:lvlText w:val=""/>
      <w:lvlJc w:val="left"/>
      <w:pPr>
        <w:tabs>
          <w:tab w:val="num" w:pos="5040"/>
        </w:tabs>
        <w:ind w:left="5040" w:hanging="360"/>
      </w:pPr>
      <w:rPr>
        <w:rFonts w:ascii="Wingdings" w:hAnsi="Wingdings" w:hint="default"/>
      </w:rPr>
    </w:lvl>
    <w:lvl w:ilvl="7" w:tplc="B7FA9B0A" w:tentative="1">
      <w:start w:val="1"/>
      <w:numFmt w:val="bullet"/>
      <w:lvlText w:val=""/>
      <w:lvlJc w:val="left"/>
      <w:pPr>
        <w:tabs>
          <w:tab w:val="num" w:pos="5760"/>
        </w:tabs>
        <w:ind w:left="5760" w:hanging="360"/>
      </w:pPr>
      <w:rPr>
        <w:rFonts w:ascii="Wingdings" w:hAnsi="Wingdings" w:hint="default"/>
      </w:rPr>
    </w:lvl>
    <w:lvl w:ilvl="8" w:tplc="7E4003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F151F"/>
    <w:multiLevelType w:val="hybridMultilevel"/>
    <w:tmpl w:val="FF504A1E"/>
    <w:lvl w:ilvl="0" w:tplc="4094E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E7FAF"/>
    <w:multiLevelType w:val="hybridMultilevel"/>
    <w:tmpl w:val="B54A676A"/>
    <w:lvl w:ilvl="0" w:tplc="FE860D06">
      <w:start w:val="2"/>
      <w:numFmt w:val="bullet"/>
      <w:lvlText w:val="-"/>
      <w:lvlJc w:val="left"/>
      <w:pPr>
        <w:ind w:left="360" w:hanging="360"/>
      </w:pPr>
      <w:rPr>
        <w:rFonts w:ascii="Times New Roman" w:eastAsia="MS Mincho"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B3984"/>
    <w:multiLevelType w:val="hybridMultilevel"/>
    <w:tmpl w:val="6AA22958"/>
    <w:lvl w:ilvl="0" w:tplc="56A220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6"/>
  </w:num>
  <w:num w:numId="16">
    <w:abstractNumId w:val="2"/>
  </w:num>
  <w:num w:numId="17">
    <w:abstractNumId w:val="3"/>
  </w:num>
  <w:num w:numId="18">
    <w:abstractNumId w:val="15"/>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547"/>
    <w:rsid w:val="0001364F"/>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F3"/>
    <w:rsid w:val="00056F95"/>
    <w:rsid w:val="0005715C"/>
    <w:rsid w:val="00060F24"/>
    <w:rsid w:val="00061913"/>
    <w:rsid w:val="00062F11"/>
    <w:rsid w:val="000631E9"/>
    <w:rsid w:val="00063321"/>
    <w:rsid w:val="00063EF2"/>
    <w:rsid w:val="0006502B"/>
    <w:rsid w:val="00067107"/>
    <w:rsid w:val="00067ED3"/>
    <w:rsid w:val="000708BD"/>
    <w:rsid w:val="00070E0C"/>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3B2"/>
    <w:rsid w:val="000C29D7"/>
    <w:rsid w:val="000C2CB4"/>
    <w:rsid w:val="000C4768"/>
    <w:rsid w:val="000C5003"/>
    <w:rsid w:val="000C71AA"/>
    <w:rsid w:val="000C74FC"/>
    <w:rsid w:val="000C7FDC"/>
    <w:rsid w:val="000D0180"/>
    <w:rsid w:val="000D07E3"/>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15D1"/>
    <w:rsid w:val="0017207F"/>
    <w:rsid w:val="001731A2"/>
    <w:rsid w:val="001736B5"/>
    <w:rsid w:val="00173A57"/>
    <w:rsid w:val="001750EF"/>
    <w:rsid w:val="001765B4"/>
    <w:rsid w:val="00176CD0"/>
    <w:rsid w:val="00177EFC"/>
    <w:rsid w:val="001802CC"/>
    <w:rsid w:val="001806F6"/>
    <w:rsid w:val="00180D0C"/>
    <w:rsid w:val="001821B7"/>
    <w:rsid w:val="00182258"/>
    <w:rsid w:val="001835B3"/>
    <w:rsid w:val="00183D6E"/>
    <w:rsid w:val="00184110"/>
    <w:rsid w:val="00184314"/>
    <w:rsid w:val="001846EE"/>
    <w:rsid w:val="00184908"/>
    <w:rsid w:val="00185660"/>
    <w:rsid w:val="00185C88"/>
    <w:rsid w:val="001866D6"/>
    <w:rsid w:val="00186F58"/>
    <w:rsid w:val="00187F8B"/>
    <w:rsid w:val="001906C2"/>
    <w:rsid w:val="0019107C"/>
    <w:rsid w:val="001929DA"/>
    <w:rsid w:val="00193556"/>
    <w:rsid w:val="00193C28"/>
    <w:rsid w:val="001940BC"/>
    <w:rsid w:val="00194B8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64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BA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21D"/>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CD3"/>
    <w:rsid w:val="002C6F34"/>
    <w:rsid w:val="002C6F50"/>
    <w:rsid w:val="002C7BE7"/>
    <w:rsid w:val="002D0CC3"/>
    <w:rsid w:val="002D1E5B"/>
    <w:rsid w:val="002D2752"/>
    <w:rsid w:val="002D4952"/>
    <w:rsid w:val="002D5CFB"/>
    <w:rsid w:val="002D5E9C"/>
    <w:rsid w:val="002D7DAF"/>
    <w:rsid w:val="002E0D2A"/>
    <w:rsid w:val="002E199D"/>
    <w:rsid w:val="002E1B45"/>
    <w:rsid w:val="002E2018"/>
    <w:rsid w:val="002E4026"/>
    <w:rsid w:val="002E41F3"/>
    <w:rsid w:val="002E4AA9"/>
    <w:rsid w:val="002E4E29"/>
    <w:rsid w:val="002E54CA"/>
    <w:rsid w:val="002E6D0D"/>
    <w:rsid w:val="002E7D6C"/>
    <w:rsid w:val="002F0809"/>
    <w:rsid w:val="002F0C12"/>
    <w:rsid w:val="002F0F8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93"/>
    <w:rsid w:val="0031175D"/>
    <w:rsid w:val="00312459"/>
    <w:rsid w:val="00312E2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DDE"/>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FD"/>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4C"/>
    <w:rsid w:val="003D7553"/>
    <w:rsid w:val="003D7EB3"/>
    <w:rsid w:val="003E0F12"/>
    <w:rsid w:val="003E1062"/>
    <w:rsid w:val="003E10AA"/>
    <w:rsid w:val="003E13B1"/>
    <w:rsid w:val="003E17B5"/>
    <w:rsid w:val="003E2486"/>
    <w:rsid w:val="003E3BE1"/>
    <w:rsid w:val="003E4676"/>
    <w:rsid w:val="003E4A1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BD"/>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1D7"/>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3D4A"/>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951"/>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5B9"/>
    <w:rsid w:val="00595C4B"/>
    <w:rsid w:val="005973DC"/>
    <w:rsid w:val="005976E8"/>
    <w:rsid w:val="0059773D"/>
    <w:rsid w:val="00597FA7"/>
    <w:rsid w:val="005A1269"/>
    <w:rsid w:val="005A1980"/>
    <w:rsid w:val="005A26B4"/>
    <w:rsid w:val="005A29F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7E"/>
    <w:rsid w:val="00617E84"/>
    <w:rsid w:val="006216B3"/>
    <w:rsid w:val="00621818"/>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983"/>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173F"/>
    <w:rsid w:val="006E2754"/>
    <w:rsid w:val="006E3C16"/>
    <w:rsid w:val="006E4A64"/>
    <w:rsid w:val="006E4CC6"/>
    <w:rsid w:val="006E4FAC"/>
    <w:rsid w:val="006E5A15"/>
    <w:rsid w:val="006E64AD"/>
    <w:rsid w:val="006E6E00"/>
    <w:rsid w:val="006E7E2E"/>
    <w:rsid w:val="006F0412"/>
    <w:rsid w:val="006F0544"/>
    <w:rsid w:val="006F2BEF"/>
    <w:rsid w:val="006F2E66"/>
    <w:rsid w:val="006F383F"/>
    <w:rsid w:val="006F4568"/>
    <w:rsid w:val="006F4C4E"/>
    <w:rsid w:val="006F4C5E"/>
    <w:rsid w:val="006F4D8E"/>
    <w:rsid w:val="006F5DD0"/>
    <w:rsid w:val="006F6482"/>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01"/>
    <w:rsid w:val="007266D9"/>
    <w:rsid w:val="00726AC2"/>
    <w:rsid w:val="00726CD5"/>
    <w:rsid w:val="00730B98"/>
    <w:rsid w:val="00731985"/>
    <w:rsid w:val="00732D97"/>
    <w:rsid w:val="00734562"/>
    <w:rsid w:val="00734DB5"/>
    <w:rsid w:val="00735A00"/>
    <w:rsid w:val="007362CE"/>
    <w:rsid w:val="0073702A"/>
    <w:rsid w:val="007375A8"/>
    <w:rsid w:val="00737642"/>
    <w:rsid w:val="007403DF"/>
    <w:rsid w:val="007409A7"/>
    <w:rsid w:val="00740DC9"/>
    <w:rsid w:val="007445FE"/>
    <w:rsid w:val="00744FCE"/>
    <w:rsid w:val="0074623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42"/>
    <w:rsid w:val="0077042B"/>
    <w:rsid w:val="007712FD"/>
    <w:rsid w:val="00772F47"/>
    <w:rsid w:val="00773BC3"/>
    <w:rsid w:val="00773C34"/>
    <w:rsid w:val="0077523E"/>
    <w:rsid w:val="0077598A"/>
    <w:rsid w:val="00776D9A"/>
    <w:rsid w:val="007809B4"/>
    <w:rsid w:val="00780B0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8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5B8"/>
    <w:rsid w:val="007D2C4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432"/>
    <w:rsid w:val="00805B03"/>
    <w:rsid w:val="00807E74"/>
    <w:rsid w:val="008103FE"/>
    <w:rsid w:val="00810CF2"/>
    <w:rsid w:val="00811981"/>
    <w:rsid w:val="0081245E"/>
    <w:rsid w:val="00812CCD"/>
    <w:rsid w:val="00813D73"/>
    <w:rsid w:val="00814809"/>
    <w:rsid w:val="008218D6"/>
    <w:rsid w:val="00821AE8"/>
    <w:rsid w:val="008224A6"/>
    <w:rsid w:val="00822C6A"/>
    <w:rsid w:val="008252D8"/>
    <w:rsid w:val="00825910"/>
    <w:rsid w:val="008273A1"/>
    <w:rsid w:val="008274BB"/>
    <w:rsid w:val="0083047E"/>
    <w:rsid w:val="00830B16"/>
    <w:rsid w:val="00830CDB"/>
    <w:rsid w:val="008318AB"/>
    <w:rsid w:val="008334BF"/>
    <w:rsid w:val="00833B95"/>
    <w:rsid w:val="00833DF3"/>
    <w:rsid w:val="00834754"/>
    <w:rsid w:val="00834A3B"/>
    <w:rsid w:val="00834BB7"/>
    <w:rsid w:val="00837072"/>
    <w:rsid w:val="0083744C"/>
    <w:rsid w:val="00841C84"/>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77B"/>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F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2C98"/>
    <w:rsid w:val="008E3D19"/>
    <w:rsid w:val="008E5B2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34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9B"/>
    <w:rsid w:val="009519B2"/>
    <w:rsid w:val="00951BDD"/>
    <w:rsid w:val="00952B67"/>
    <w:rsid w:val="00953C09"/>
    <w:rsid w:val="00953CD8"/>
    <w:rsid w:val="00953DA5"/>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5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07C97"/>
    <w:rsid w:val="00A10BDE"/>
    <w:rsid w:val="00A118D1"/>
    <w:rsid w:val="00A11A1B"/>
    <w:rsid w:val="00A11A33"/>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18"/>
    <w:rsid w:val="00A54949"/>
    <w:rsid w:val="00A55A0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47"/>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5D"/>
    <w:rsid w:val="00B7146B"/>
    <w:rsid w:val="00B71D07"/>
    <w:rsid w:val="00B71DC3"/>
    <w:rsid w:val="00B71E39"/>
    <w:rsid w:val="00B72CC6"/>
    <w:rsid w:val="00B738FB"/>
    <w:rsid w:val="00B741F2"/>
    <w:rsid w:val="00B75989"/>
    <w:rsid w:val="00B77A0F"/>
    <w:rsid w:val="00B77B34"/>
    <w:rsid w:val="00B80DC6"/>
    <w:rsid w:val="00B81E96"/>
    <w:rsid w:val="00B82343"/>
    <w:rsid w:val="00B8312C"/>
    <w:rsid w:val="00B85847"/>
    <w:rsid w:val="00B90A18"/>
    <w:rsid w:val="00B91779"/>
    <w:rsid w:val="00B91E98"/>
    <w:rsid w:val="00B92AF9"/>
    <w:rsid w:val="00B937A6"/>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7D"/>
    <w:rsid w:val="00BD472D"/>
    <w:rsid w:val="00BD57CC"/>
    <w:rsid w:val="00BD5BCA"/>
    <w:rsid w:val="00BE10F1"/>
    <w:rsid w:val="00BE1A5A"/>
    <w:rsid w:val="00BE231E"/>
    <w:rsid w:val="00BE256F"/>
    <w:rsid w:val="00BE2828"/>
    <w:rsid w:val="00BE2B0A"/>
    <w:rsid w:val="00BE3468"/>
    <w:rsid w:val="00BE3FE9"/>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CC"/>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8FE"/>
    <w:rsid w:val="00C52BE6"/>
    <w:rsid w:val="00C52C13"/>
    <w:rsid w:val="00C530DD"/>
    <w:rsid w:val="00C53ECC"/>
    <w:rsid w:val="00C541F2"/>
    <w:rsid w:val="00C54513"/>
    <w:rsid w:val="00C548C2"/>
    <w:rsid w:val="00C5511B"/>
    <w:rsid w:val="00C55399"/>
    <w:rsid w:val="00C578D2"/>
    <w:rsid w:val="00C627BE"/>
    <w:rsid w:val="00C62BE3"/>
    <w:rsid w:val="00C63E5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1B"/>
    <w:rsid w:val="00C83A0F"/>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A5"/>
    <w:rsid w:val="00CD6F50"/>
    <w:rsid w:val="00CD7843"/>
    <w:rsid w:val="00CD799D"/>
    <w:rsid w:val="00CE034E"/>
    <w:rsid w:val="00CE0AE9"/>
    <w:rsid w:val="00CE14C8"/>
    <w:rsid w:val="00CE34A4"/>
    <w:rsid w:val="00CE682B"/>
    <w:rsid w:val="00CE73D7"/>
    <w:rsid w:val="00CE75A3"/>
    <w:rsid w:val="00CF0032"/>
    <w:rsid w:val="00CF15B3"/>
    <w:rsid w:val="00CF1BB6"/>
    <w:rsid w:val="00CF2575"/>
    <w:rsid w:val="00CF2DBC"/>
    <w:rsid w:val="00CF3D97"/>
    <w:rsid w:val="00CF3E36"/>
    <w:rsid w:val="00CF41E5"/>
    <w:rsid w:val="00CF467F"/>
    <w:rsid w:val="00CF5694"/>
    <w:rsid w:val="00CF571A"/>
    <w:rsid w:val="00CF5721"/>
    <w:rsid w:val="00CF65AA"/>
    <w:rsid w:val="00CF7310"/>
    <w:rsid w:val="00CF788B"/>
    <w:rsid w:val="00D046A2"/>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5A5"/>
    <w:rsid w:val="00D36CCD"/>
    <w:rsid w:val="00D40041"/>
    <w:rsid w:val="00D40158"/>
    <w:rsid w:val="00D4330C"/>
    <w:rsid w:val="00D448A4"/>
    <w:rsid w:val="00D4537D"/>
    <w:rsid w:val="00D458D4"/>
    <w:rsid w:val="00D45E3A"/>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339A"/>
    <w:rsid w:val="00D638B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A8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8F"/>
    <w:rsid w:val="00DB1C5D"/>
    <w:rsid w:val="00DB27B5"/>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7"/>
    <w:rsid w:val="00E06CF7"/>
    <w:rsid w:val="00E0753B"/>
    <w:rsid w:val="00E0784B"/>
    <w:rsid w:val="00E07AAF"/>
    <w:rsid w:val="00E07F98"/>
    <w:rsid w:val="00E10CF7"/>
    <w:rsid w:val="00E13BF6"/>
    <w:rsid w:val="00E14809"/>
    <w:rsid w:val="00E14DB5"/>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3B74"/>
    <w:rsid w:val="00E45525"/>
    <w:rsid w:val="00E4683B"/>
    <w:rsid w:val="00E46ECD"/>
    <w:rsid w:val="00E46FFA"/>
    <w:rsid w:val="00E47632"/>
    <w:rsid w:val="00E50E82"/>
    <w:rsid w:val="00E52155"/>
    <w:rsid w:val="00E54D1D"/>
    <w:rsid w:val="00E55670"/>
    <w:rsid w:val="00E55720"/>
    <w:rsid w:val="00E557D6"/>
    <w:rsid w:val="00E55CA3"/>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388"/>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572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FB"/>
    <w:rsid w:val="00F0699E"/>
    <w:rsid w:val="00F07A65"/>
    <w:rsid w:val="00F1002C"/>
    <w:rsid w:val="00F116E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F9A"/>
    <w:rsid w:val="00F40EE5"/>
    <w:rsid w:val="00F429BE"/>
    <w:rsid w:val="00F43148"/>
    <w:rsid w:val="00F43588"/>
    <w:rsid w:val="00F44AF0"/>
    <w:rsid w:val="00F45049"/>
    <w:rsid w:val="00F45378"/>
    <w:rsid w:val="00F45EB4"/>
    <w:rsid w:val="00F46295"/>
    <w:rsid w:val="00F4677B"/>
    <w:rsid w:val="00F469D8"/>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6259"/>
    <w:rsid w:val="00F767C3"/>
    <w:rsid w:val="00F77118"/>
    <w:rsid w:val="00F80E63"/>
    <w:rsid w:val="00F8116D"/>
    <w:rsid w:val="00F81180"/>
    <w:rsid w:val="00F82967"/>
    <w:rsid w:val="00F84102"/>
    <w:rsid w:val="00F84248"/>
    <w:rsid w:val="00F8481F"/>
    <w:rsid w:val="00F84F64"/>
    <w:rsid w:val="00F85923"/>
    <w:rsid w:val="00F861C4"/>
    <w:rsid w:val="00F877DB"/>
    <w:rsid w:val="00F87896"/>
    <w:rsid w:val="00F901CA"/>
    <w:rsid w:val="00F90AD9"/>
    <w:rsid w:val="00F910F4"/>
    <w:rsid w:val="00F92BD5"/>
    <w:rsid w:val="00F934BB"/>
    <w:rsid w:val="00F93893"/>
    <w:rsid w:val="00F950EB"/>
    <w:rsid w:val="00F977B3"/>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5B8F"/>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05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4338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56693">
      <w:bodyDiv w:val="1"/>
      <w:marLeft w:val="0"/>
      <w:marRight w:val="0"/>
      <w:marTop w:val="0"/>
      <w:marBottom w:val="0"/>
      <w:divBdr>
        <w:top w:val="none" w:sz="0" w:space="0" w:color="auto"/>
        <w:left w:val="none" w:sz="0" w:space="0" w:color="auto"/>
        <w:bottom w:val="none" w:sz="0" w:space="0" w:color="auto"/>
        <w:right w:val="none" w:sz="0" w:space="0" w:color="auto"/>
      </w:divBdr>
      <w:divsChild>
        <w:div w:id="1355840764">
          <w:marLeft w:val="403"/>
          <w:marRight w:val="0"/>
          <w:marTop w:val="0"/>
          <w:marBottom w:val="0"/>
          <w:divBdr>
            <w:top w:val="none" w:sz="0" w:space="0" w:color="auto"/>
            <w:left w:val="none" w:sz="0" w:space="0" w:color="auto"/>
            <w:bottom w:val="none" w:sz="0" w:space="0" w:color="auto"/>
            <w:right w:val="none" w:sz="0" w:space="0" w:color="auto"/>
          </w:divBdr>
        </w:div>
        <w:div w:id="388000873">
          <w:marLeft w:val="403"/>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2B22564-8662-455A-9AF9-68EDD551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669</Words>
  <Characters>3819</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Discussion</vt:lpstr>
      <vt:lpstr>        2.1	Use case for invoking MB2 interface</vt:lpstr>
      <vt:lpstr>        2.2	Impact to current functionalities</vt:lpstr>
      <vt:lpstr>        2.3	Way forward proposal of supporting MB2 interface</vt:lpstr>
      <vt:lpstr>3. Conclusion and proposal(s)</vt:lpstr>
      <vt:lpstr/>
    </vt:vector>
  </TitlesOfParts>
  <Company>Huawei</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2022-09-30T08:58:00Z</dcterms:created>
  <dcterms:modified xsi:type="dcterms:W3CDTF">2022-09-30T10:13:00Z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(3)bh9Y38k8fng8k5jEXUyZm74v2CwfOmgw/UHuKex2ikFeDPQB+mY3K8xM/11MvChLOCiXZWrk
eWWzGU5xEP/KHvMoqYzVpw/eS68qD+9yZv4U/Nv2LPO6fBD1sancQLnpEKHvtfgIe0ta0wUA
jmJZRdUQ9pd966rlthFTSuiaXf4QzCmjkBqNHWyjOoUEYiiClD3FRzfTRqzTdXdAVOS6fSzp
HVS00KZfQF2CB6uIzO</vt:lpwstr>
  </property>
  <property fmtid="{D5CDD505-2E9C-101B-9397-08002B2CF9AE}" pid="9" name="_2015_ms_pID_7253431">
    <vt:lpwstr>AMkC5rfo+VofH3b3BGDJX1zakN2vs5CNjQx7DmvcGuY8fNDtbKqULn
b4fojvwmnyofN43WPav5vCnVIa2ggip14bdVS76pd0ieDe9FKoBH3VS3kQgJSpcIOjE/gaNP
tSk9cNg0Z2RJddeRfZfgwCirqbOCktlv9y3F1My5TDXXKjYohWMDyNN3MWhB1VFL3aA2qQ3w
dF1OG9Y5NL1Ej9ouTW0HWw2p7Y8RG9LKBE0s</vt:lpwstr>
  </property>
  <property fmtid="{D5CDD505-2E9C-101B-9397-08002B2CF9AE}" pid="10" name="_2015_ms_pID_7253432">
    <vt:lpwstr>LFW/ptdj8GzlgUaQgfZLge8=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